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BD" w:rsidRDefault="00E204BD"/>
    <w:p w:rsidR="00E204BD" w:rsidRPr="00A33289" w:rsidRDefault="00E204BD" w:rsidP="00E204BD">
      <w:pPr>
        <w:jc w:val="center"/>
        <w:rPr>
          <w:rFonts w:ascii="Calibri" w:hAnsi="Calibri" w:cs="Calibri"/>
          <w:sz w:val="22"/>
          <w:u w:val="single"/>
        </w:rPr>
      </w:pPr>
      <w:r>
        <w:rPr>
          <w:rFonts w:ascii="Calibri" w:hAnsi="Calibri" w:cs="Calibri"/>
          <w:sz w:val="22"/>
          <w:u w:val="single"/>
        </w:rPr>
        <w:t>NOTA DE</w:t>
      </w:r>
      <w:r w:rsidRPr="00A33289">
        <w:rPr>
          <w:rFonts w:ascii="Calibri" w:hAnsi="Calibri" w:cs="Calibri"/>
          <w:sz w:val="22"/>
          <w:u w:val="single"/>
        </w:rPr>
        <w:t xml:space="preserve"> PRENSA</w:t>
      </w:r>
    </w:p>
    <w:p w:rsidR="00E204BD" w:rsidRPr="00E204BD" w:rsidRDefault="00E204BD" w:rsidP="00E204BD">
      <w:pPr>
        <w:tabs>
          <w:tab w:val="left" w:pos="7305"/>
        </w:tabs>
        <w:rPr>
          <w:sz w:val="28"/>
        </w:rPr>
      </w:pPr>
    </w:p>
    <w:p w:rsidR="006828D0" w:rsidRPr="00AB637B" w:rsidRDefault="00E204BD" w:rsidP="00E204BD">
      <w:pPr>
        <w:tabs>
          <w:tab w:val="left" w:pos="7305"/>
        </w:tabs>
        <w:jc w:val="center"/>
        <w:rPr>
          <w:rFonts w:ascii="Calibri" w:hAnsi="Calibri" w:cs="Calibri"/>
          <w:b/>
          <w:color w:val="76923C" w:themeColor="accent3" w:themeShade="BF"/>
        </w:rPr>
      </w:pPr>
      <w:r w:rsidRPr="00AB637B">
        <w:rPr>
          <w:rFonts w:ascii="Calibri" w:hAnsi="Calibri" w:cs="Calibri"/>
          <w:b/>
          <w:color w:val="76923C" w:themeColor="accent3" w:themeShade="BF"/>
        </w:rPr>
        <w:t>NUEVA CONDENA POR EXPLOTACIÓN ILEGAL DE VARIEDADES VEGETALES PROTEGIDAS DE ALMENDRO</w:t>
      </w:r>
    </w:p>
    <w:p w:rsidR="00E204BD" w:rsidRPr="00E204BD" w:rsidRDefault="00E204BD" w:rsidP="00E204BD">
      <w:pPr>
        <w:tabs>
          <w:tab w:val="left" w:pos="7305"/>
        </w:tabs>
        <w:jc w:val="both"/>
        <w:rPr>
          <w:rFonts w:ascii="Calibri" w:hAnsi="Calibri" w:cs="Calibri"/>
          <w:b/>
          <w:i/>
          <w:sz w:val="22"/>
          <w:szCs w:val="22"/>
        </w:rPr>
      </w:pPr>
    </w:p>
    <w:p w:rsidR="00DE5FE7" w:rsidRPr="00DE5FE7" w:rsidRDefault="00416C59" w:rsidP="00416C59">
      <w:pPr>
        <w:tabs>
          <w:tab w:val="left" w:pos="7305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El pirateo pone en riesgo la salud y seguridad de los consumidores </w:t>
      </w:r>
      <w:r w:rsidR="00D54458">
        <w:rPr>
          <w:rFonts w:ascii="Calibri" w:hAnsi="Calibri" w:cs="Calibri"/>
          <w:b/>
          <w:sz w:val="22"/>
          <w:szCs w:val="22"/>
        </w:rPr>
        <w:t>y supone</w:t>
      </w:r>
      <w:r>
        <w:rPr>
          <w:rFonts w:ascii="Calibri" w:hAnsi="Calibri" w:cs="Calibri"/>
          <w:b/>
          <w:sz w:val="22"/>
          <w:szCs w:val="22"/>
        </w:rPr>
        <w:t xml:space="preserve"> una pérdida para el sector</w:t>
      </w:r>
      <w:r w:rsidR="00D54458">
        <w:rPr>
          <w:rFonts w:ascii="Calibri" w:hAnsi="Calibri" w:cs="Calibri"/>
          <w:b/>
          <w:sz w:val="22"/>
          <w:szCs w:val="22"/>
        </w:rPr>
        <w:t xml:space="preserve"> obtentor</w:t>
      </w:r>
      <w:r>
        <w:rPr>
          <w:rFonts w:ascii="Calibri" w:hAnsi="Calibri" w:cs="Calibri"/>
          <w:b/>
          <w:sz w:val="22"/>
          <w:szCs w:val="22"/>
        </w:rPr>
        <w:t xml:space="preserve"> de más de 100 millones de euros al año.</w:t>
      </w:r>
    </w:p>
    <w:p w:rsidR="00DE5FE7" w:rsidRDefault="00DE5FE7" w:rsidP="00E204BD">
      <w:pPr>
        <w:tabs>
          <w:tab w:val="left" w:pos="7305"/>
        </w:tabs>
        <w:jc w:val="both"/>
        <w:rPr>
          <w:rFonts w:ascii="Calibri" w:hAnsi="Calibri" w:cs="Calibri"/>
          <w:b/>
          <w:i/>
          <w:sz w:val="22"/>
          <w:szCs w:val="22"/>
        </w:rPr>
      </w:pPr>
    </w:p>
    <w:p w:rsidR="00DE5FE7" w:rsidRPr="00D54458" w:rsidRDefault="00AB637B" w:rsidP="00E204BD">
      <w:pPr>
        <w:tabs>
          <w:tab w:val="left" w:pos="7305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Albacete, 20</w:t>
      </w:r>
      <w:r w:rsidR="00E204BD" w:rsidRPr="00D54458">
        <w:rPr>
          <w:rFonts w:asciiTheme="minorHAnsi" w:hAnsiTheme="minorHAnsi" w:cstheme="minorHAnsi"/>
          <w:b/>
          <w:i/>
          <w:sz w:val="22"/>
          <w:szCs w:val="22"/>
        </w:rPr>
        <w:t xml:space="preserve"> de marzo de 2019.- </w:t>
      </w:r>
      <w:r w:rsidR="00D54458">
        <w:rPr>
          <w:rFonts w:asciiTheme="minorHAnsi" w:hAnsiTheme="minorHAnsi" w:cstheme="minorHAnsi"/>
          <w:sz w:val="22"/>
          <w:szCs w:val="22"/>
        </w:rPr>
        <w:t xml:space="preserve">Un </w:t>
      </w:r>
      <w:proofErr w:type="spellStart"/>
      <w:r w:rsidR="00D54458">
        <w:rPr>
          <w:rFonts w:asciiTheme="minorHAnsi" w:hAnsiTheme="minorHAnsi" w:cstheme="minorHAnsi"/>
          <w:sz w:val="22"/>
          <w:szCs w:val="22"/>
        </w:rPr>
        <w:t>viverista</w:t>
      </w:r>
      <w:proofErr w:type="spellEnd"/>
      <w:r w:rsidR="00D54458">
        <w:rPr>
          <w:rFonts w:asciiTheme="minorHAnsi" w:hAnsiTheme="minorHAnsi" w:cstheme="minorHAnsi"/>
          <w:sz w:val="22"/>
          <w:szCs w:val="22"/>
        </w:rPr>
        <w:t xml:space="preserve"> </w:t>
      </w:r>
      <w:r w:rsidR="00E204BD" w:rsidRPr="00D54458">
        <w:rPr>
          <w:rFonts w:asciiTheme="minorHAnsi" w:hAnsiTheme="minorHAnsi" w:cstheme="minorHAnsi"/>
          <w:sz w:val="22"/>
          <w:szCs w:val="22"/>
        </w:rPr>
        <w:t>de Albacete ha sido condenado po</w:t>
      </w:r>
      <w:r>
        <w:rPr>
          <w:rFonts w:asciiTheme="minorHAnsi" w:hAnsiTheme="minorHAnsi" w:cstheme="minorHAnsi"/>
          <w:sz w:val="22"/>
          <w:szCs w:val="22"/>
        </w:rPr>
        <w:t>r el Juzgado de lo Penal núm. 3</w:t>
      </w:r>
      <w:r w:rsidR="00E204BD" w:rsidRPr="00D54458">
        <w:rPr>
          <w:rFonts w:asciiTheme="minorHAnsi" w:hAnsiTheme="minorHAnsi" w:cstheme="minorHAnsi"/>
          <w:sz w:val="22"/>
          <w:szCs w:val="22"/>
        </w:rPr>
        <w:t xml:space="preserve"> de</w:t>
      </w:r>
      <w:r w:rsidR="00D54458" w:rsidRPr="00D54458">
        <w:rPr>
          <w:rFonts w:asciiTheme="minorHAnsi" w:hAnsiTheme="minorHAnsi" w:cstheme="minorHAnsi"/>
          <w:sz w:val="22"/>
          <w:szCs w:val="22"/>
        </w:rPr>
        <w:t xml:space="preserve"> la citada provincia</w:t>
      </w:r>
      <w:r w:rsidR="00E204BD" w:rsidRPr="00D54458">
        <w:rPr>
          <w:rFonts w:asciiTheme="minorHAnsi" w:hAnsiTheme="minorHAnsi" w:cstheme="minorHAnsi"/>
          <w:sz w:val="22"/>
          <w:szCs w:val="22"/>
        </w:rPr>
        <w:t xml:space="preserve"> por haber reproducido sin autorización variedades vegetales de almendro “</w:t>
      </w:r>
      <w:r w:rsidR="00DE5FE7" w:rsidRPr="00D54458">
        <w:rPr>
          <w:rFonts w:asciiTheme="minorHAnsi" w:hAnsiTheme="minorHAnsi" w:cstheme="minorHAnsi"/>
          <w:i/>
          <w:sz w:val="22"/>
          <w:szCs w:val="22"/>
        </w:rPr>
        <w:t>M</w:t>
      </w:r>
      <w:r w:rsidR="00E204BD" w:rsidRPr="00D54458">
        <w:rPr>
          <w:rFonts w:asciiTheme="minorHAnsi" w:hAnsiTheme="minorHAnsi" w:cstheme="minorHAnsi"/>
          <w:i/>
          <w:sz w:val="22"/>
          <w:szCs w:val="22"/>
        </w:rPr>
        <w:t>arinada</w:t>
      </w:r>
      <w:r w:rsidR="00E204BD" w:rsidRPr="00D54458">
        <w:rPr>
          <w:rFonts w:asciiTheme="minorHAnsi" w:hAnsiTheme="minorHAnsi" w:cstheme="minorHAnsi"/>
          <w:sz w:val="22"/>
          <w:szCs w:val="22"/>
        </w:rPr>
        <w:t>” y “</w:t>
      </w:r>
      <w:proofErr w:type="spellStart"/>
      <w:r w:rsidR="00DE5FE7" w:rsidRPr="00D54458">
        <w:rPr>
          <w:rFonts w:asciiTheme="minorHAnsi" w:hAnsiTheme="minorHAnsi" w:cstheme="minorHAnsi"/>
          <w:i/>
          <w:sz w:val="22"/>
          <w:szCs w:val="22"/>
        </w:rPr>
        <w:t>T</w:t>
      </w:r>
      <w:r w:rsidR="00E204BD" w:rsidRPr="00D54458">
        <w:rPr>
          <w:rFonts w:asciiTheme="minorHAnsi" w:hAnsiTheme="minorHAnsi" w:cstheme="minorHAnsi"/>
          <w:i/>
          <w:sz w:val="22"/>
          <w:szCs w:val="22"/>
        </w:rPr>
        <w:t>arraco</w:t>
      </w:r>
      <w:proofErr w:type="spellEnd"/>
      <w:r w:rsidR="00E204BD" w:rsidRPr="00D54458">
        <w:rPr>
          <w:rFonts w:asciiTheme="minorHAnsi" w:hAnsiTheme="minorHAnsi" w:cstheme="minorHAnsi"/>
          <w:sz w:val="22"/>
          <w:szCs w:val="22"/>
        </w:rPr>
        <w:t>” para su posterior venta entre los</w:t>
      </w:r>
      <w:r w:rsidR="00DE5FE7" w:rsidRPr="00D54458">
        <w:rPr>
          <w:rFonts w:asciiTheme="minorHAnsi" w:hAnsiTheme="minorHAnsi" w:cstheme="minorHAnsi"/>
          <w:sz w:val="22"/>
          <w:szCs w:val="22"/>
        </w:rPr>
        <w:t xml:space="preserve"> agricultores de la zona, </w:t>
      </w:r>
      <w:r w:rsidR="00993BAF">
        <w:rPr>
          <w:rFonts w:asciiTheme="minorHAnsi" w:hAnsiTheme="minorHAnsi" w:cstheme="minorHAnsi"/>
          <w:sz w:val="22"/>
          <w:szCs w:val="22"/>
        </w:rPr>
        <w:t xml:space="preserve">incurriendo en </w:t>
      </w:r>
      <w:r w:rsidR="00DE5FE7" w:rsidRPr="00D54458">
        <w:rPr>
          <w:rFonts w:asciiTheme="minorHAnsi" w:hAnsiTheme="minorHAnsi" w:cstheme="minorHAnsi"/>
          <w:sz w:val="22"/>
          <w:szCs w:val="22"/>
        </w:rPr>
        <w:t xml:space="preserve">un delito contra la propiedad industrial tipificado en el artículo 274.4 del Código Penal. </w:t>
      </w:r>
    </w:p>
    <w:p w:rsidR="00DE5FE7" w:rsidRPr="00D54458" w:rsidRDefault="00DE5FE7" w:rsidP="00E204BD">
      <w:pPr>
        <w:tabs>
          <w:tab w:val="left" w:pos="730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E5FE7" w:rsidRPr="00D54458" w:rsidRDefault="00DE5FE7" w:rsidP="00E204BD">
      <w:pPr>
        <w:tabs>
          <w:tab w:val="left" w:pos="730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54458">
        <w:rPr>
          <w:rFonts w:asciiTheme="minorHAnsi" w:hAnsiTheme="minorHAnsi" w:cstheme="minorHAnsi"/>
          <w:sz w:val="22"/>
          <w:szCs w:val="22"/>
        </w:rPr>
        <w:t xml:space="preserve">La sentencia, contra la que no cabe recurso, condena al </w:t>
      </w:r>
      <w:proofErr w:type="spellStart"/>
      <w:r w:rsidRPr="00D54458">
        <w:rPr>
          <w:rFonts w:asciiTheme="minorHAnsi" w:hAnsiTheme="minorHAnsi" w:cstheme="minorHAnsi"/>
          <w:sz w:val="22"/>
          <w:szCs w:val="22"/>
        </w:rPr>
        <w:t>viverista</w:t>
      </w:r>
      <w:proofErr w:type="spellEnd"/>
      <w:r w:rsidRPr="00D54458">
        <w:rPr>
          <w:rFonts w:asciiTheme="minorHAnsi" w:hAnsiTheme="minorHAnsi" w:cstheme="minorHAnsi"/>
          <w:sz w:val="22"/>
          <w:szCs w:val="22"/>
        </w:rPr>
        <w:t xml:space="preserve"> a una pena de prisión de 1 año, inhabilitación para el derecho de sufragio pasivo, y pago de una indemnización por los daños y perjuicios causados. </w:t>
      </w:r>
    </w:p>
    <w:p w:rsidR="00DE5FE7" w:rsidRPr="00D54458" w:rsidRDefault="00DE5FE7" w:rsidP="00E204BD">
      <w:pPr>
        <w:tabs>
          <w:tab w:val="left" w:pos="730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993BAF" w:rsidRPr="00D54458" w:rsidRDefault="00DE5FE7" w:rsidP="00993BAF">
      <w:pPr>
        <w:tabs>
          <w:tab w:val="left" w:pos="730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54458">
        <w:rPr>
          <w:rFonts w:asciiTheme="minorHAnsi" w:hAnsiTheme="minorHAnsi" w:cstheme="minorHAnsi"/>
          <w:sz w:val="22"/>
          <w:szCs w:val="22"/>
        </w:rPr>
        <w:t xml:space="preserve">La reproducción y producción </w:t>
      </w:r>
      <w:r w:rsidR="00D54458" w:rsidRPr="00D54458">
        <w:rPr>
          <w:rFonts w:asciiTheme="minorHAnsi" w:hAnsiTheme="minorHAnsi" w:cstheme="minorHAnsi"/>
          <w:sz w:val="22"/>
          <w:szCs w:val="22"/>
        </w:rPr>
        <w:t xml:space="preserve">no autorizada de </w:t>
      </w:r>
      <w:r w:rsidRPr="00D54458">
        <w:rPr>
          <w:rFonts w:asciiTheme="minorHAnsi" w:hAnsiTheme="minorHAnsi" w:cstheme="minorHAnsi"/>
          <w:sz w:val="22"/>
          <w:szCs w:val="22"/>
        </w:rPr>
        <w:t xml:space="preserve">variedades vegetales protegidas de frutal constituye un grave problema en las zonas frutícolas en España. Este fraude masivo tiene </w:t>
      </w:r>
      <w:r w:rsidR="00AB637B">
        <w:rPr>
          <w:rFonts w:asciiTheme="minorHAnsi" w:hAnsiTheme="minorHAnsi" w:cstheme="minorHAnsi"/>
          <w:sz w:val="22"/>
          <w:szCs w:val="22"/>
        </w:rPr>
        <w:t>nefastas</w:t>
      </w:r>
      <w:r w:rsidRPr="00D54458">
        <w:rPr>
          <w:rFonts w:asciiTheme="minorHAnsi" w:hAnsiTheme="minorHAnsi" w:cstheme="minorHAnsi"/>
          <w:sz w:val="22"/>
          <w:szCs w:val="22"/>
        </w:rPr>
        <w:t xml:space="preserve"> consecuencias no sólo para los obtentores de nuevas variedades vegetales, a los que se están ca</w:t>
      </w:r>
      <w:r w:rsidR="00D54458">
        <w:rPr>
          <w:rFonts w:asciiTheme="minorHAnsi" w:hAnsiTheme="minorHAnsi" w:cstheme="minorHAnsi"/>
          <w:sz w:val="22"/>
          <w:szCs w:val="22"/>
        </w:rPr>
        <w:t>usando pérdidas de más de 100 millones</w:t>
      </w:r>
      <w:r w:rsidRPr="00D54458">
        <w:rPr>
          <w:rFonts w:asciiTheme="minorHAnsi" w:hAnsiTheme="minorHAnsi" w:cstheme="minorHAnsi"/>
          <w:sz w:val="22"/>
          <w:szCs w:val="22"/>
        </w:rPr>
        <w:t xml:space="preserve"> cada año, sino también para to</w:t>
      </w:r>
      <w:r w:rsidR="00D54458">
        <w:rPr>
          <w:rFonts w:asciiTheme="minorHAnsi" w:hAnsiTheme="minorHAnsi" w:cstheme="minorHAnsi"/>
          <w:sz w:val="22"/>
          <w:szCs w:val="22"/>
        </w:rPr>
        <w:t>do e</w:t>
      </w:r>
      <w:r w:rsidR="00993BAF">
        <w:rPr>
          <w:rFonts w:asciiTheme="minorHAnsi" w:hAnsiTheme="minorHAnsi" w:cstheme="minorHAnsi"/>
          <w:sz w:val="22"/>
          <w:szCs w:val="22"/>
        </w:rPr>
        <w:t>l conjunto del sector</w:t>
      </w:r>
      <w:r w:rsidR="00AB637B">
        <w:rPr>
          <w:rFonts w:asciiTheme="minorHAnsi" w:hAnsiTheme="minorHAnsi" w:cstheme="minorHAnsi"/>
          <w:sz w:val="22"/>
          <w:szCs w:val="22"/>
        </w:rPr>
        <w:t>. Con este tipo de prácticas ilegales se daña</w:t>
      </w:r>
      <w:r w:rsidR="00D54458">
        <w:rPr>
          <w:rFonts w:asciiTheme="minorHAnsi" w:hAnsiTheme="minorHAnsi" w:cstheme="minorHAnsi"/>
          <w:sz w:val="22"/>
          <w:szCs w:val="22"/>
        </w:rPr>
        <w:t xml:space="preserve"> la imagen de la producción española en el extranjero y </w:t>
      </w:r>
      <w:r w:rsidR="00AB637B">
        <w:rPr>
          <w:rFonts w:asciiTheme="minorHAnsi" w:hAnsiTheme="minorHAnsi" w:cstheme="minorHAnsi"/>
          <w:sz w:val="22"/>
          <w:szCs w:val="22"/>
        </w:rPr>
        <w:t>se pone</w:t>
      </w:r>
      <w:r w:rsidR="00D54458">
        <w:rPr>
          <w:rFonts w:asciiTheme="minorHAnsi" w:hAnsiTheme="minorHAnsi" w:cstheme="minorHAnsi"/>
          <w:sz w:val="22"/>
          <w:szCs w:val="22"/>
        </w:rPr>
        <w:t xml:space="preserve"> en riesgo la seguridad para el consumidor, </w:t>
      </w:r>
      <w:r w:rsidR="00993BAF" w:rsidRPr="00D54458">
        <w:rPr>
          <w:rFonts w:asciiTheme="minorHAnsi" w:hAnsiTheme="minorHAnsi" w:cstheme="minorHAnsi"/>
          <w:sz w:val="22"/>
          <w:szCs w:val="22"/>
        </w:rPr>
        <w:t xml:space="preserve">pues este material clandestino, </w:t>
      </w:r>
      <w:r w:rsidR="00AB637B">
        <w:rPr>
          <w:rFonts w:asciiTheme="minorHAnsi" w:hAnsiTheme="minorHAnsi" w:cstheme="minorHAnsi"/>
          <w:sz w:val="22"/>
          <w:szCs w:val="22"/>
        </w:rPr>
        <w:t>fuera</w:t>
      </w:r>
      <w:r w:rsidR="00993BAF" w:rsidRPr="00D54458">
        <w:rPr>
          <w:rFonts w:asciiTheme="minorHAnsi" w:hAnsiTheme="minorHAnsi" w:cstheme="minorHAnsi"/>
          <w:sz w:val="22"/>
          <w:szCs w:val="22"/>
        </w:rPr>
        <w:t xml:space="preserve"> del sistema oficial de control y certificación, </w:t>
      </w:r>
      <w:r w:rsidR="00AB637B">
        <w:rPr>
          <w:rFonts w:asciiTheme="minorHAnsi" w:hAnsiTheme="minorHAnsi" w:cstheme="minorHAnsi"/>
          <w:sz w:val="22"/>
          <w:szCs w:val="22"/>
        </w:rPr>
        <w:t>no solo no ofrece ninguna</w:t>
      </w:r>
      <w:r w:rsidR="00993BAF" w:rsidRPr="00D54458">
        <w:rPr>
          <w:rFonts w:asciiTheme="minorHAnsi" w:hAnsiTheme="minorHAnsi" w:cstheme="minorHAnsi"/>
          <w:sz w:val="22"/>
          <w:szCs w:val="22"/>
        </w:rPr>
        <w:t xml:space="preserve"> garantía de que pertenezca verdaderamente a la variedad que se indica, </w:t>
      </w:r>
      <w:r w:rsidR="00AB637B">
        <w:rPr>
          <w:rFonts w:asciiTheme="minorHAnsi" w:hAnsiTheme="minorHAnsi" w:cstheme="minorHAnsi"/>
          <w:sz w:val="22"/>
          <w:szCs w:val="22"/>
        </w:rPr>
        <w:t xml:space="preserve">sino que adolece de garantías acerca </w:t>
      </w:r>
      <w:r w:rsidR="00993BAF" w:rsidRPr="00D54458">
        <w:rPr>
          <w:rFonts w:asciiTheme="minorHAnsi" w:hAnsiTheme="minorHAnsi" w:cstheme="minorHAnsi"/>
          <w:sz w:val="22"/>
          <w:szCs w:val="22"/>
        </w:rPr>
        <w:t xml:space="preserve">de su pureza varietal </w:t>
      </w:r>
      <w:r w:rsidR="00AB637B">
        <w:rPr>
          <w:rFonts w:asciiTheme="minorHAnsi" w:hAnsiTheme="minorHAnsi" w:cstheme="minorHAnsi"/>
          <w:sz w:val="22"/>
          <w:szCs w:val="22"/>
        </w:rPr>
        <w:t>y</w:t>
      </w:r>
      <w:r w:rsidR="00993BAF" w:rsidRPr="00D54458">
        <w:rPr>
          <w:rFonts w:asciiTheme="minorHAnsi" w:hAnsiTheme="minorHAnsi" w:cstheme="minorHAnsi"/>
          <w:sz w:val="22"/>
          <w:szCs w:val="22"/>
        </w:rPr>
        <w:t xml:space="preserve"> de sus condiciones </w:t>
      </w:r>
      <w:proofErr w:type="spellStart"/>
      <w:r w:rsidR="00993BAF" w:rsidRPr="00D54458">
        <w:rPr>
          <w:rFonts w:asciiTheme="minorHAnsi" w:hAnsiTheme="minorHAnsi" w:cstheme="minorHAnsi"/>
          <w:sz w:val="22"/>
          <w:szCs w:val="22"/>
        </w:rPr>
        <w:t>fito</w:t>
      </w:r>
      <w:proofErr w:type="spellEnd"/>
      <w:r w:rsidR="00993BAF" w:rsidRPr="00D54458">
        <w:rPr>
          <w:rFonts w:asciiTheme="minorHAnsi" w:hAnsiTheme="minorHAnsi" w:cstheme="minorHAnsi"/>
          <w:sz w:val="22"/>
          <w:szCs w:val="22"/>
        </w:rPr>
        <w:t xml:space="preserve">-sanitarias. </w:t>
      </w:r>
    </w:p>
    <w:p w:rsidR="00416C59" w:rsidRPr="00D54458" w:rsidRDefault="00416C59" w:rsidP="00E204BD">
      <w:pPr>
        <w:tabs>
          <w:tab w:val="left" w:pos="730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16C59" w:rsidRPr="00D54458" w:rsidRDefault="00416C59" w:rsidP="00D54458">
      <w:pPr>
        <w:jc w:val="both"/>
        <w:rPr>
          <w:rFonts w:asciiTheme="minorHAnsi" w:hAnsiTheme="minorHAnsi" w:cstheme="minorHAnsi"/>
          <w:sz w:val="22"/>
          <w:szCs w:val="22"/>
        </w:rPr>
      </w:pPr>
      <w:r w:rsidRPr="00D54458">
        <w:rPr>
          <w:rFonts w:asciiTheme="minorHAnsi" w:hAnsiTheme="minorHAnsi" w:cstheme="minorHAnsi"/>
          <w:sz w:val="22"/>
          <w:szCs w:val="22"/>
        </w:rPr>
        <w:t>Tras la modificación efectuada en el Código Penal, por la Ley 1/2015 de fecha 30 de marzo, la explotación no autorizada de variedades vegetales protegidas constituye un delito castigado hasta con tres años de prisión.</w:t>
      </w:r>
    </w:p>
    <w:p w:rsidR="00DE5FE7" w:rsidRDefault="00DE5FE7" w:rsidP="00E204BD">
      <w:pPr>
        <w:tabs>
          <w:tab w:val="left" w:pos="7305"/>
        </w:tabs>
        <w:jc w:val="both"/>
        <w:rPr>
          <w:rFonts w:ascii="Calibri" w:hAnsi="Calibri" w:cs="Calibri"/>
          <w:sz w:val="22"/>
          <w:szCs w:val="22"/>
        </w:rPr>
      </w:pPr>
    </w:p>
    <w:p w:rsidR="00DE5FE7" w:rsidRDefault="00DE5FE7" w:rsidP="00E204BD">
      <w:pPr>
        <w:tabs>
          <w:tab w:val="left" w:pos="7305"/>
        </w:tabs>
        <w:jc w:val="both"/>
        <w:rPr>
          <w:rFonts w:ascii="Calibri" w:hAnsi="Calibri" w:cs="Calibri"/>
          <w:sz w:val="22"/>
          <w:szCs w:val="22"/>
        </w:rPr>
      </w:pPr>
    </w:p>
    <w:p w:rsidR="00DE5FE7" w:rsidRPr="00A33289" w:rsidRDefault="001B3556" w:rsidP="00DE5FE7">
      <w:pPr>
        <w:spacing w:after="200" w:line="280" w:lineRule="exact"/>
        <w:jc w:val="both"/>
        <w:rPr>
          <w:rFonts w:ascii="Calibri" w:hAnsi="Calibri" w:cs="Calibri"/>
          <w:b/>
          <w:color w:val="A2BD30"/>
          <w:sz w:val="20"/>
        </w:rPr>
      </w:pPr>
      <w:r w:rsidRPr="001B3556">
        <w:rPr>
          <w:rFonts w:ascii="Calibri" w:hAnsi="Calibri" w:cs="Calibri"/>
          <w:b/>
          <w:color w:val="A2BD30"/>
          <w:sz w:val="20"/>
        </w:rPr>
        <w:pict>
          <v:rect id="_x0000_i1025" style="width:425.2pt;height:2pt" o:hralign="center" o:hrstd="t" o:hrnoshade="t" o:hr="t" fillcolor="#a2bd30" stroked="f"/>
        </w:pict>
      </w:r>
    </w:p>
    <w:p w:rsidR="00DE5FE7" w:rsidRPr="000041CA" w:rsidRDefault="00DE5FE7" w:rsidP="00DE5FE7">
      <w:pPr>
        <w:jc w:val="both"/>
        <w:rPr>
          <w:rFonts w:ascii="Calibri" w:hAnsi="Calibri" w:cs="Calibri"/>
          <w:b/>
          <w:color w:val="A2BD30"/>
          <w:sz w:val="22"/>
          <w:szCs w:val="22"/>
        </w:rPr>
      </w:pPr>
      <w:r w:rsidRPr="000041CA">
        <w:rPr>
          <w:rFonts w:ascii="Calibri" w:hAnsi="Calibri" w:cs="Calibri"/>
          <w:b/>
          <w:color w:val="A2BD30"/>
          <w:sz w:val="22"/>
          <w:szCs w:val="22"/>
        </w:rPr>
        <w:t>Sobre Geslive</w:t>
      </w:r>
    </w:p>
    <w:p w:rsidR="00DE5FE7" w:rsidRPr="00A33289" w:rsidRDefault="00DE5FE7" w:rsidP="00DE5FE7">
      <w:pPr>
        <w:jc w:val="both"/>
        <w:rPr>
          <w:rFonts w:ascii="Calibri" w:hAnsi="Calibri" w:cs="Calibri"/>
          <w:spacing w:val="-3"/>
          <w:sz w:val="20"/>
        </w:rPr>
      </w:pPr>
      <w:r w:rsidRPr="00A33289">
        <w:rPr>
          <w:rFonts w:ascii="Calibri" w:hAnsi="Calibri" w:cs="Calibri"/>
          <w:spacing w:val="-3"/>
          <w:sz w:val="20"/>
        </w:rPr>
        <w:t xml:space="preserve">GESLIVE es una empresa que presta servicios profesionales apoyando a los obtentores de nuevas variedades vegetales en la gestión, protección, asistencia técnica y asesoramiento en defensa de los derechos de propiedad industrial de más de 1500 variedades vegetales y de 100 marcas registradas. </w:t>
      </w:r>
    </w:p>
    <w:p w:rsidR="00DE5FE7" w:rsidRPr="00A33289" w:rsidRDefault="00DE5FE7" w:rsidP="00DE5FE7">
      <w:pPr>
        <w:jc w:val="both"/>
        <w:rPr>
          <w:rFonts w:ascii="Calibri" w:hAnsi="Calibri" w:cs="Calibri"/>
          <w:spacing w:val="-3"/>
          <w:sz w:val="20"/>
        </w:rPr>
      </w:pPr>
    </w:p>
    <w:p w:rsidR="00DE5FE7" w:rsidRDefault="00DE5FE7" w:rsidP="00DE5FE7">
      <w:pPr>
        <w:jc w:val="both"/>
        <w:rPr>
          <w:rFonts w:ascii="Calibri" w:hAnsi="Calibri" w:cs="Calibri"/>
          <w:spacing w:val="-3"/>
          <w:sz w:val="20"/>
        </w:rPr>
      </w:pPr>
      <w:r w:rsidRPr="00A33289">
        <w:rPr>
          <w:rFonts w:ascii="Calibri" w:hAnsi="Calibri" w:cs="Calibri"/>
          <w:spacing w:val="-3"/>
          <w:sz w:val="20"/>
        </w:rPr>
        <w:t>Las empresas obtentoras han de realizar costosas inversiones con el fin de llevar a cabo sus investigaciones con las que poder mejorar las diferentes variedades vegetales y crear otras nuevas. Para asegurar e incentivar la innovación y el progreso que esta actividad supone, es imprescindible proteger los derechos que sobre la nueva variedad debe ostentar su creador, análogamente a como se protegen otras obras técnicas, científicas o artísticas.</w:t>
      </w:r>
    </w:p>
    <w:p w:rsidR="00DE5FE7" w:rsidRDefault="00DE5FE7" w:rsidP="00E204BD">
      <w:pPr>
        <w:tabs>
          <w:tab w:val="left" w:pos="7305"/>
        </w:tabs>
        <w:jc w:val="both"/>
        <w:rPr>
          <w:rFonts w:ascii="Calibri" w:hAnsi="Calibri" w:cs="Calibri"/>
          <w:sz w:val="22"/>
          <w:szCs w:val="22"/>
        </w:rPr>
      </w:pPr>
    </w:p>
    <w:p w:rsidR="00416C59" w:rsidRDefault="001B3556" w:rsidP="00E204BD">
      <w:pPr>
        <w:tabs>
          <w:tab w:val="left" w:pos="7305"/>
        </w:tabs>
        <w:jc w:val="both"/>
        <w:rPr>
          <w:rFonts w:ascii="Calibri" w:hAnsi="Calibri" w:cs="Calibri"/>
          <w:sz w:val="22"/>
          <w:szCs w:val="22"/>
        </w:rPr>
      </w:pPr>
      <w:r w:rsidRPr="001B3556">
        <w:rPr>
          <w:rFonts w:ascii="Calibri" w:hAnsi="Calibri" w:cs="Calibri"/>
          <w:b/>
          <w:color w:val="A2BD30"/>
          <w:sz w:val="20"/>
        </w:rPr>
        <w:pict>
          <v:rect id="_x0000_i1026" style="width:425.2pt;height:2pt" o:hralign="center" o:hrstd="t" o:hrnoshade="t" o:hr="t" fillcolor="#a2bd30" stroked="f"/>
        </w:pict>
      </w:r>
    </w:p>
    <w:p w:rsidR="00416C59" w:rsidRDefault="00416C59" w:rsidP="00E204BD">
      <w:pPr>
        <w:tabs>
          <w:tab w:val="left" w:pos="7305"/>
        </w:tabs>
        <w:jc w:val="both"/>
        <w:rPr>
          <w:rFonts w:ascii="Calibri" w:hAnsi="Calibri" w:cs="Calibri"/>
          <w:sz w:val="22"/>
          <w:szCs w:val="22"/>
        </w:rPr>
      </w:pPr>
    </w:p>
    <w:p w:rsidR="00416C59" w:rsidRPr="00A33289" w:rsidRDefault="00416C59" w:rsidP="00416C59">
      <w:pPr>
        <w:spacing w:after="200" w:line="280" w:lineRule="exact"/>
        <w:jc w:val="both"/>
        <w:rPr>
          <w:rFonts w:ascii="Calibri" w:hAnsi="Calibri" w:cs="Calibri"/>
          <w:b/>
          <w:color w:val="A2BD30"/>
          <w:sz w:val="20"/>
        </w:rPr>
      </w:pPr>
      <w:r w:rsidRPr="00A33289">
        <w:rPr>
          <w:rFonts w:ascii="Calibri" w:hAnsi="Calibri" w:cs="Calibri"/>
          <w:b/>
          <w:color w:val="A2BD30"/>
          <w:sz w:val="20"/>
        </w:rPr>
        <w:t>Para más información:</w:t>
      </w:r>
    </w:p>
    <w:p w:rsidR="00416C59" w:rsidRPr="00A33289" w:rsidRDefault="00416C59" w:rsidP="00416C59">
      <w:pPr>
        <w:jc w:val="both"/>
        <w:rPr>
          <w:rFonts w:ascii="Calibri" w:hAnsi="Calibri" w:cs="Calibri"/>
          <w:b/>
          <w:sz w:val="20"/>
        </w:rPr>
      </w:pPr>
      <w:r w:rsidRPr="00A33289">
        <w:rPr>
          <w:rFonts w:ascii="Calibri" w:hAnsi="Calibri" w:cs="Calibri"/>
          <w:b/>
          <w:sz w:val="20"/>
        </w:rPr>
        <w:t>Cícero Comunicación</w:t>
      </w:r>
    </w:p>
    <w:p w:rsidR="00416C59" w:rsidRPr="00416C59" w:rsidRDefault="00416C59" w:rsidP="00416C59">
      <w:pPr>
        <w:jc w:val="both"/>
        <w:rPr>
          <w:rFonts w:ascii="Calibri" w:hAnsi="Calibri" w:cs="Calibri"/>
          <w:sz w:val="20"/>
        </w:rPr>
      </w:pPr>
      <w:r w:rsidRPr="00A33289">
        <w:rPr>
          <w:rFonts w:ascii="Calibri" w:hAnsi="Calibri" w:cs="Calibri"/>
          <w:sz w:val="20"/>
        </w:rPr>
        <w:t xml:space="preserve">Tel. 917 500 640 </w:t>
      </w:r>
    </w:p>
    <w:sectPr w:rsidR="00416C59" w:rsidRPr="00416C59" w:rsidSect="006828D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C0E" w:rsidRDefault="00542C0E" w:rsidP="00E204BD">
      <w:r>
        <w:separator/>
      </w:r>
    </w:p>
  </w:endnote>
  <w:endnote w:type="continuationSeparator" w:id="0">
    <w:p w:rsidR="00542C0E" w:rsidRDefault="00542C0E" w:rsidP="00E20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C0E" w:rsidRDefault="00542C0E" w:rsidP="00E204BD">
      <w:r>
        <w:separator/>
      </w:r>
    </w:p>
  </w:footnote>
  <w:footnote w:type="continuationSeparator" w:id="0">
    <w:p w:rsidR="00542C0E" w:rsidRDefault="00542C0E" w:rsidP="00E204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4BD" w:rsidRDefault="00E204BD">
    <w:pPr>
      <w:pStyle w:val="Encabezado"/>
    </w:pPr>
    <w:r w:rsidRPr="00E204BD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5101590</wp:posOffset>
          </wp:positionH>
          <wp:positionV relativeFrom="paragraph">
            <wp:posOffset>-192405</wp:posOffset>
          </wp:positionV>
          <wp:extent cx="741680" cy="581025"/>
          <wp:effectExtent l="19050" t="0" r="1270" b="0"/>
          <wp:wrapTopAndBottom/>
          <wp:docPr id="1" name="Imagen 2" descr="Resultado de imagen de gesl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Resultado de imagen de gesli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04BD" w:rsidRDefault="00E204BD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4BD"/>
    <w:rsid w:val="001B3556"/>
    <w:rsid w:val="00397BFE"/>
    <w:rsid w:val="00416C59"/>
    <w:rsid w:val="00542C0E"/>
    <w:rsid w:val="006828D0"/>
    <w:rsid w:val="006B1EC0"/>
    <w:rsid w:val="00993BAF"/>
    <w:rsid w:val="00A7461C"/>
    <w:rsid w:val="00AB637B"/>
    <w:rsid w:val="00D54458"/>
    <w:rsid w:val="00DE5FE7"/>
    <w:rsid w:val="00E2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4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04B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204BD"/>
  </w:style>
  <w:style w:type="paragraph" w:styleId="Piedepgina">
    <w:name w:val="footer"/>
    <w:basedOn w:val="Normal"/>
    <w:link w:val="PiedepginaCar"/>
    <w:uiPriority w:val="99"/>
    <w:semiHidden/>
    <w:unhideWhenUsed/>
    <w:rsid w:val="00E204B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204BD"/>
  </w:style>
  <w:style w:type="paragraph" w:styleId="Textodeglobo">
    <w:name w:val="Balloon Text"/>
    <w:basedOn w:val="Normal"/>
    <w:link w:val="TextodegloboCar"/>
    <w:uiPriority w:val="99"/>
    <w:semiHidden/>
    <w:unhideWhenUsed/>
    <w:rsid w:val="00E204B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418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Maravillas García</dc:creator>
  <cp:keywords/>
  <dc:description/>
  <cp:lastModifiedBy>Arturo</cp:lastModifiedBy>
  <cp:revision>3</cp:revision>
  <dcterms:created xsi:type="dcterms:W3CDTF">2019-03-20T08:28:00Z</dcterms:created>
  <dcterms:modified xsi:type="dcterms:W3CDTF">2019-03-20T09:52:00Z</dcterms:modified>
</cp:coreProperties>
</file>